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76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21pt;height:138pt;">
            <v:imagedata r:id="rId5" r:href="rId6"/>
          </v:shape>
        </w:pict>
      </w:r>
    </w:p>
    <w:p>
      <w:pPr>
        <w:widowControl w:val="0"/>
        <w:rPr>
          <w:sz w:val="2"/>
          <w:szCs w:val="2"/>
        </w:rPr>
      </w:pPr>
    </w:p>
    <w:p>
      <w:pPr>
        <w:pStyle w:val="Style6"/>
        <w:widowControl w:val="0"/>
        <w:keepNext w:val="0"/>
        <w:keepLines w:val="0"/>
        <w:shd w:val="clear" w:color="auto" w:fill="auto"/>
        <w:bidi w:val="0"/>
        <w:spacing w:before="311" w:after="513"/>
        <w:ind w:left="0" w:right="0" w:firstLine="0"/>
      </w:pPr>
      <w:r>
        <w:rPr>
          <w:lang w:val="it-IT" w:eastAsia="it-IT" w:bidi="it-IT"/>
          <w:w w:val="100"/>
          <w:spacing w:val="0"/>
          <w:color w:val="000000"/>
          <w:position w:val="0"/>
        </w:rPr>
        <w:t>di apertura delle proprie sedi per fornire informazioni o supporto ai giovani che ne avessero necessità.</w:t>
      </w:r>
    </w:p>
    <w:p>
      <w:pPr>
        <w:pStyle w:val="Style6"/>
        <w:widowControl w:val="0"/>
        <w:keepNext w:val="0"/>
        <w:keepLines w:val="0"/>
        <w:shd w:val="clear" w:color="auto" w:fill="auto"/>
        <w:bidi w:val="0"/>
        <w:jc w:val="center"/>
        <w:spacing w:before="0" w:after="0" w:line="240" w:lineRule="exact"/>
        <w:ind w:left="0" w:right="20" w:firstLine="0"/>
      </w:pPr>
      <w:r>
        <w:rPr>
          <w:lang w:val="it-IT" w:eastAsia="it-IT" w:bidi="it-IT"/>
          <w:w w:val="100"/>
          <w:spacing w:val="0"/>
          <w:color w:val="000000"/>
          <w:position w:val="0"/>
        </w:rPr>
        <w:t>Art. 5</w:t>
      </w:r>
    </w:p>
    <w:p>
      <w:pPr>
        <w:pStyle w:val="Style8"/>
        <w:widowControl w:val="0"/>
        <w:keepNext/>
        <w:keepLines/>
        <w:shd w:val="clear" w:color="auto" w:fill="auto"/>
        <w:bidi w:val="0"/>
        <w:spacing w:before="0" w:after="259" w:line="240" w:lineRule="exact"/>
        <w:ind w:left="0" w:right="20" w:firstLine="0"/>
      </w:pPr>
      <w:bookmarkStart w:id="0" w:name="bookmark0"/>
      <w:r>
        <w:rPr>
          <w:lang w:val="it-IT" w:eastAsia="it-IT" w:bidi="it-IT"/>
          <w:w w:val="100"/>
          <w:spacing w:val="0"/>
          <w:color w:val="000000"/>
          <w:position w:val="0"/>
        </w:rPr>
        <w:t>Presentazione delle domande</w:t>
      </w:r>
      <w:bookmarkEnd w:id="0"/>
    </w:p>
    <w:p>
      <w:pPr>
        <w:pStyle w:val="Style6"/>
        <w:widowControl w:val="0"/>
        <w:keepNext w:val="0"/>
        <w:keepLines w:val="0"/>
        <w:shd w:val="clear" w:color="auto" w:fill="auto"/>
        <w:bidi w:val="0"/>
        <w:spacing w:before="0" w:after="0" w:line="277" w:lineRule="exact"/>
        <w:ind w:left="0" w:right="0" w:firstLine="0"/>
      </w:pPr>
      <w:r>
        <w:rPr>
          <w:lang w:val="it-IT" w:eastAsia="it-IT" w:bidi="it-IT"/>
          <w:w w:val="100"/>
          <w:spacing w:val="0"/>
          <w:color w:val="000000"/>
          <w:position w:val="0"/>
        </w:rPr>
        <w:t xml:space="preserve">Gli aspiranti operatori volontari (d’ora in avanti “candidati”) dovranno produrre domanda di partecipazione indirizzata direttamente all’ente che realizza il progetto prescelto esclusivamente attraverso la piattaforma DOL raggiungibile tramite PC, </w:t>
      </w:r>
      <w:r>
        <w:rPr>
          <w:rStyle w:val="CharStyle10"/>
        </w:rPr>
        <w:t>tablet</w:t>
      </w:r>
      <w:r>
        <w:rPr>
          <w:lang w:val="it-IT" w:eastAsia="it-IT" w:bidi="it-IT"/>
          <w:w w:val="100"/>
          <w:spacing w:val="0"/>
          <w:color w:val="000000"/>
          <w:position w:val="0"/>
        </w:rPr>
        <w:t xml:space="preserve"> e </w:t>
      </w:r>
      <w:r>
        <w:rPr>
          <w:rStyle w:val="CharStyle10"/>
        </w:rPr>
        <w:t>smartphone</w:t>
      </w:r>
      <w:r>
        <w:rPr>
          <w:lang w:val="it-IT" w:eastAsia="it-IT" w:bidi="it-IT"/>
          <w:w w:val="100"/>
          <w:spacing w:val="0"/>
          <w:color w:val="000000"/>
          <w:position w:val="0"/>
        </w:rPr>
        <w:t xml:space="preserve"> all’indirizzo </w:t>
      </w:r>
      <w:r>
        <w:fldChar w:fldCharType="begin"/>
      </w:r>
      <w:r>
        <w:rPr>
          <w:rStyle w:val="CharStyle11"/>
        </w:rPr>
        <w:instrText> HYPERLINK "https://domandaonline.serviziocivile.it" </w:instrText>
      </w:r>
      <w:r>
        <w:fldChar w:fldCharType="separate"/>
      </w:r>
      <w:r>
        <w:rPr>
          <w:rStyle w:val="Hyperlink"/>
        </w:rPr>
        <w:t>https://domandaonline.serviziocivile.it</w:t>
      </w:r>
      <w:r>
        <w:fldChar w:fldCharType="end"/>
      </w:r>
    </w:p>
    <w:p>
      <w:pPr>
        <w:pStyle w:val="Style6"/>
        <w:widowControl w:val="0"/>
        <w:keepNext w:val="0"/>
        <w:keepLines w:val="0"/>
        <w:shd w:val="clear" w:color="auto" w:fill="auto"/>
        <w:bidi w:val="0"/>
        <w:spacing w:before="0" w:after="0" w:line="302" w:lineRule="exact"/>
        <w:ind w:left="0" w:right="0" w:firstLine="0"/>
      </w:pPr>
      <w:r>
        <w:rPr>
          <w:lang w:val="it-IT" w:eastAsia="it-IT" w:bidi="it-IT"/>
          <w:w w:val="100"/>
          <w:spacing w:val="0"/>
          <w:color w:val="000000"/>
          <w:position w:val="0"/>
        </w:rPr>
        <w:t>Per accedere ai servizi di compilazione e presentazione domanda sulla piattaforma DOL occorre che il candidato sia riconosciuto dal sistema.</w:t>
      </w:r>
    </w:p>
    <w:p>
      <w:pPr>
        <w:pStyle w:val="Style6"/>
        <w:numPr>
          <w:ilvl w:val="0"/>
          <w:numId w:val="1"/>
        </w:numPr>
        <w:tabs>
          <w:tab w:leader="none" w:pos="229" w:val="left"/>
        </w:tabs>
        <w:widowControl w:val="0"/>
        <w:keepNext w:val="0"/>
        <w:keepLines w:val="0"/>
        <w:shd w:val="clear" w:color="auto" w:fill="auto"/>
        <w:bidi w:val="0"/>
        <w:spacing w:before="0" w:after="0" w:line="302" w:lineRule="exact"/>
        <w:ind w:left="0" w:right="0" w:firstLine="0"/>
      </w:pPr>
      <w:r>
        <w:rPr>
          <w:lang w:val="it-IT" w:eastAsia="it-IT" w:bidi="it-IT"/>
          <w:w w:val="100"/>
          <w:spacing w:val="0"/>
          <w:color w:val="000000"/>
          <w:position w:val="0"/>
        </w:rPr>
        <w:t>cittadini italiani residenti in Italia o all’estero e i cittadini di Paesi extra Unione Europea</w:t>
      </w:r>
    </w:p>
    <w:p>
      <w:pPr>
        <w:pStyle w:val="Style6"/>
        <w:tabs>
          <w:tab w:leader="none" w:pos="1184" w:val="left"/>
          <w:tab w:leader="none" w:pos="4759" w:val="left"/>
        </w:tabs>
        <w:widowControl w:val="0"/>
        <w:keepNext w:val="0"/>
        <w:keepLines w:val="0"/>
        <w:shd w:val="clear" w:color="auto" w:fill="auto"/>
        <w:bidi w:val="0"/>
        <w:spacing w:before="0" w:after="0" w:line="302" w:lineRule="exact"/>
        <w:ind w:left="0" w:right="0" w:firstLine="0"/>
      </w:pPr>
      <w:r>
        <w:rPr>
          <w:lang w:val="it-IT" w:eastAsia="it-IT" w:bidi="it-IT"/>
          <w:w w:val="100"/>
          <w:spacing w:val="0"/>
          <w:color w:val="000000"/>
          <w:position w:val="0"/>
        </w:rPr>
        <w:t>regolarmente soggiornanti in Italia possono accedervi esclusivamente con SPID, il Sistema Pubblico</w:t>
        <w:tab/>
        <w:t>di Identità Digitale. Sul</w:t>
        <w:tab/>
        <w:t>sito dell’Agenzia per l’Italia Digitale</w:t>
      </w:r>
    </w:p>
    <w:p>
      <w:pPr>
        <w:pStyle w:val="Style6"/>
        <w:widowControl w:val="0"/>
        <w:keepNext w:val="0"/>
        <w:keepLines w:val="0"/>
        <w:shd w:val="clear" w:color="auto" w:fill="auto"/>
        <w:bidi w:val="0"/>
        <w:spacing w:before="0" w:after="0" w:line="302" w:lineRule="exact"/>
        <w:ind w:left="0" w:right="0" w:firstLine="0"/>
      </w:pPr>
      <w:r>
        <w:fldChar w:fldCharType="begin"/>
      </w:r>
      <w:r>
        <w:rPr>
          <w:rStyle w:val="CharStyle11"/>
        </w:rPr>
        <w:instrText> HYPERLINK "http://www.agid.gov.it/it/piattaforme/spid" </w:instrText>
      </w:r>
      <w:r>
        <w:fldChar w:fldCharType="separate"/>
      </w:r>
      <w:r>
        <w:rPr>
          <w:rStyle w:val="Hyperlink"/>
        </w:rPr>
        <w:t>www.agid.gov.it/it/piattaforme/spid</w:t>
      </w:r>
      <w:r>
        <w:fldChar w:fldCharType="end"/>
      </w:r>
      <w:r>
        <w:rPr>
          <w:rStyle w:val="CharStyle12"/>
        </w:rPr>
        <w:t xml:space="preserve"> </w:t>
      </w:r>
      <w:r>
        <w:rPr>
          <w:lang w:val="it-IT" w:eastAsia="it-IT" w:bidi="it-IT"/>
          <w:w w:val="100"/>
          <w:spacing w:val="0"/>
          <w:color w:val="000000"/>
          <w:position w:val="0"/>
        </w:rPr>
        <w:t>sono disponibili tutte le informazioni su cosa è SPID, quali servizi offre e come si richiede.</w:t>
      </w:r>
    </w:p>
    <w:p>
      <w:pPr>
        <w:pStyle w:val="Style6"/>
        <w:widowControl w:val="0"/>
        <w:keepNext w:val="0"/>
        <w:keepLines w:val="0"/>
        <w:shd w:val="clear" w:color="auto" w:fill="auto"/>
        <w:bidi w:val="0"/>
        <w:spacing w:before="0" w:after="240" w:line="302" w:lineRule="exact"/>
        <w:ind w:left="0" w:right="0" w:firstLine="0"/>
      </w:pPr>
      <w:r>
        <w:rPr>
          <w:lang w:val="it-IT" w:eastAsia="it-IT" w:bidi="it-IT"/>
          <w:w w:val="100"/>
          <w:spacing w:val="0"/>
          <w:color w:val="000000"/>
          <w:position w:val="0"/>
        </w:rPr>
        <w:t xml:space="preserve">Invece, i cittadini appartenenti ad un Paese dell’Unione Europea diverso dall’Italia o a Svizzera, Islanda, Norvegia e Liechtenstein, che ancora non possono disporre dello SPED, e i cittadini di Paesi extra Unione Europea in attesa di rilascio di permesso di soggiorno, possono accedere ai servizi della piattaforma DOL previa richiesta di apposite credenziali al Dipartimento, secondo una procedura disponibile sulla </w:t>
      </w:r>
      <w:r>
        <w:rPr>
          <w:rStyle w:val="CharStyle10"/>
        </w:rPr>
        <w:t>homepage</w:t>
      </w:r>
      <w:r>
        <w:rPr>
          <w:lang w:val="it-IT" w:eastAsia="it-IT" w:bidi="it-IT"/>
          <w:w w:val="100"/>
          <w:spacing w:val="0"/>
          <w:color w:val="000000"/>
          <w:position w:val="0"/>
        </w:rPr>
        <w:t xml:space="preserve"> della piattaforma stessa.</w:t>
      </w:r>
    </w:p>
    <w:p>
      <w:pPr>
        <w:pStyle w:val="Style6"/>
        <w:widowControl w:val="0"/>
        <w:keepNext w:val="0"/>
        <w:keepLines w:val="0"/>
        <w:shd w:val="clear" w:color="auto" w:fill="auto"/>
        <w:bidi w:val="0"/>
        <w:spacing w:before="0" w:after="243" w:line="302" w:lineRule="exact"/>
        <w:ind w:left="0" w:right="0" w:firstLine="0"/>
      </w:pPr>
      <w:r>
        <w:rPr>
          <w:lang w:val="it-IT" w:eastAsia="it-IT" w:bidi="it-IT"/>
          <w:w w:val="100"/>
          <w:spacing w:val="0"/>
          <w:color w:val="000000"/>
          <w:position w:val="0"/>
        </w:rPr>
        <w:t xml:space="preserve">La piattaforma, che consente di compilare la domanda di partecipazione e di presentarla, ha una pagina principale “Domanda di partecipazione” strutturata in 3 sezioni (1-Progetto; 2-Dati e dichiarazioni; 3-Titoli ed esperienze) e in un tasto “Presenta la domanda”. Sui siti web del Dipartimento </w:t>
      </w:r>
      <w:r>
        <w:fldChar w:fldCharType="begin"/>
      </w:r>
      <w:r>
        <w:rPr>
          <w:rStyle w:val="CharStyle11"/>
        </w:rPr>
        <w:instrText> HYPERLINK "http://www.politichegiovanilieserviziocivile.gov.it" </w:instrText>
      </w:r>
      <w:r>
        <w:fldChar w:fldCharType="separate"/>
      </w:r>
      <w:r>
        <w:rPr>
          <w:rStyle w:val="Hyperlink"/>
        </w:rPr>
        <w:t>www.politichegiovanilieserviziocivile.gov.it</w:t>
      </w:r>
      <w:r>
        <w:fldChar w:fldCharType="end"/>
      </w:r>
      <w:r>
        <w:rPr>
          <w:rStyle w:val="CharStyle12"/>
        </w:rPr>
        <w:t xml:space="preserve"> </w:t>
      </w:r>
      <w:r>
        <w:rPr>
          <w:lang w:val="it-IT" w:eastAsia="it-IT" w:bidi="it-IT"/>
          <w:w w:val="100"/>
          <w:spacing w:val="0"/>
          <w:color w:val="000000"/>
          <w:position w:val="0"/>
        </w:rPr>
        <w:t xml:space="preserve">e </w:t>
      </w:r>
      <w:r>
        <w:fldChar w:fldCharType="begin"/>
      </w:r>
      <w:r>
        <w:rPr>
          <w:rStyle w:val="CharStyle11"/>
        </w:rPr>
        <w:instrText> HYPERLINK "http://www.scelgoilserviziocivile.gov.it" </w:instrText>
      </w:r>
      <w:r>
        <w:fldChar w:fldCharType="separate"/>
      </w:r>
      <w:r>
        <w:rPr>
          <w:rStyle w:val="Hyperlink"/>
        </w:rPr>
        <w:t>www.scelgoilserviziocivile.gov.it</w:t>
      </w:r>
      <w:r>
        <w:fldChar w:fldCharType="end"/>
      </w:r>
      <w:r>
        <w:rPr>
          <w:rStyle w:val="CharStyle12"/>
        </w:rPr>
        <w:t xml:space="preserve"> </w:t>
      </w:r>
      <w:r>
        <w:rPr>
          <w:lang w:val="it-IT" w:eastAsia="it-IT" w:bidi="it-IT"/>
          <w:w w:val="100"/>
          <w:spacing w:val="0"/>
          <w:color w:val="000000"/>
          <w:position w:val="0"/>
        </w:rPr>
        <w:t xml:space="preserve">è disponibile la </w:t>
      </w:r>
      <w:r>
        <w:rPr>
          <w:rStyle w:val="CharStyle13"/>
        </w:rPr>
        <w:t>Guida per la compilazione e la presentazione della Domanda On Line con la piattaforma DOL</w:t>
      </w:r>
      <w:r>
        <w:rPr>
          <w:rStyle w:val="CharStyle14"/>
        </w:rPr>
        <w:t>.</w:t>
      </w:r>
    </w:p>
    <w:p>
      <w:pPr>
        <w:pStyle w:val="Style6"/>
        <w:numPr>
          <w:ilvl w:val="0"/>
          <w:numId w:val="1"/>
        </w:numPr>
        <w:tabs>
          <w:tab w:leader="none" w:pos="270" w:val="left"/>
        </w:tabs>
        <w:widowControl w:val="0"/>
        <w:keepNext w:val="0"/>
        <w:keepLines w:val="0"/>
        <w:shd w:val="clear" w:color="auto" w:fill="auto"/>
        <w:bidi w:val="0"/>
        <w:spacing w:before="0" w:after="258" w:line="299" w:lineRule="exact"/>
        <w:ind w:left="0" w:right="0" w:firstLine="0"/>
      </w:pPr>
      <w:r>
        <w:rPr>
          <w:lang w:val="it-IT" w:eastAsia="it-IT" w:bidi="it-IT"/>
          <w:w w:val="100"/>
          <w:spacing w:val="0"/>
          <w:color w:val="000000"/>
          <w:position w:val="0"/>
        </w:rPr>
        <w:t>giorno successivo alla presentazione della domanda il Sistema di protocollo del Dipartimento invia ai candidato, tramite posta elettronica, la ricevuta di attestazione della presentazione con il numero di protocollo e la data e l’orario di presentazione della domanda stessa.</w:t>
      </w:r>
    </w:p>
    <w:p>
      <w:pPr>
        <w:pStyle w:val="Style6"/>
        <w:widowControl w:val="0"/>
        <w:keepNext w:val="0"/>
        <w:keepLines w:val="0"/>
        <w:shd w:val="clear" w:color="auto" w:fill="auto"/>
        <w:bidi w:val="0"/>
        <w:spacing w:before="0" w:after="0" w:line="277" w:lineRule="exact"/>
        <w:ind w:left="0" w:right="0" w:firstLine="0"/>
      </w:pPr>
      <w:r>
        <w:rPr>
          <w:lang w:val="it-IT" w:eastAsia="it-IT" w:bidi="it-IT"/>
          <w:w w:val="100"/>
          <w:spacing w:val="0"/>
          <w:color w:val="000000"/>
          <w:position w:val="0"/>
        </w:rPr>
        <w:t xml:space="preserve">Le domande di partecipazione devono essere presentate </w:t>
      </w:r>
      <w:r>
        <w:rPr>
          <w:rStyle w:val="CharStyle15"/>
        </w:rPr>
        <w:t xml:space="preserve">esclusivamente </w:t>
      </w:r>
      <w:r>
        <w:rPr>
          <w:lang w:val="it-IT" w:eastAsia="it-IT" w:bidi="it-IT"/>
          <w:w w:val="100"/>
          <w:spacing w:val="0"/>
          <w:color w:val="000000"/>
          <w:position w:val="0"/>
        </w:rPr>
        <w:t xml:space="preserve">nella modalità on line sopra descritta entro e non oltre le </w:t>
      </w:r>
      <w:r>
        <w:rPr>
          <w:rStyle w:val="CharStyle15"/>
        </w:rPr>
        <w:t xml:space="preserve">ore 14:00 del 10 ottobre 2019. </w:t>
      </w:r>
      <w:r>
        <w:rPr>
          <w:lang w:val="it-IT" w:eastAsia="it-IT" w:bidi="it-IT"/>
          <w:w w:val="100"/>
          <w:spacing w:val="0"/>
          <w:color w:val="000000"/>
          <w:position w:val="0"/>
        </w:rPr>
        <w:t>Oltre tale termine il sistema non</w:t>
      </w:r>
    </w:p>
    <w:p>
      <w:pPr>
        <w:framePr w:h="2534" w:wrap="notBeside" w:vAnchor="text" w:hAnchor="text" w:xAlign="center" w:y="1"/>
        <w:widowControl w:val="0"/>
        <w:jc w:val="center"/>
        <w:rPr>
          <w:sz w:val="2"/>
          <w:szCs w:val="2"/>
        </w:rPr>
      </w:pPr>
      <w:r>
        <w:pict>
          <v:shape id="_x0000_s1027" type="#_x0000_t75" style="width:409pt;height:127pt;">
            <v:imagedata r:id="rId7" r:href="rId8"/>
          </v:shape>
        </w:pict>
      </w:r>
    </w:p>
    <w:p>
      <w:pPr>
        <w:pStyle w:val="Style16"/>
        <w:framePr w:h="253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it-IT" w:eastAsia="it-IT" w:bidi="it-IT"/>
          <w:w w:val="100"/>
          <w:spacing w:val="0"/>
          <w:color w:val="000000"/>
          <w:position w:val="0"/>
        </w:rPr>
        <w:t>DIPARTIMENTO PER LE POLITICHE GIOVANILI E IL SERVIZIO CIVILE UNIVERSALE</w:t>
      </w:r>
    </w:p>
    <w:p>
      <w:pPr>
        <w:widowControl w:val="0"/>
        <w:rPr>
          <w:sz w:val="2"/>
          <w:szCs w:val="2"/>
        </w:rPr>
      </w:pPr>
    </w:p>
    <w:p>
      <w:pPr>
        <w:pStyle w:val="Style6"/>
        <w:widowControl w:val="0"/>
        <w:keepNext w:val="0"/>
        <w:keepLines w:val="0"/>
        <w:shd w:val="clear" w:color="auto" w:fill="auto"/>
        <w:bidi w:val="0"/>
        <w:spacing w:before="314" w:after="240" w:line="277" w:lineRule="exact"/>
        <w:ind w:left="0" w:right="0" w:firstLine="0"/>
      </w:pPr>
      <w:r>
        <w:rPr>
          <w:lang w:val="it-IT" w:eastAsia="it-IT" w:bidi="it-IT"/>
          <w:w w:val="100"/>
          <w:spacing w:val="0"/>
          <w:color w:val="000000"/>
          <w:position w:val="0"/>
        </w:rPr>
        <w:t>consentirà la presentazione delle domande. Le domande trasmesse con modalità diverse non saranno prese in considerazione.</w:t>
      </w:r>
    </w:p>
    <w:p>
      <w:pPr>
        <w:pStyle w:val="Style6"/>
        <w:widowControl w:val="0"/>
        <w:keepNext w:val="0"/>
        <w:keepLines w:val="0"/>
        <w:shd w:val="clear" w:color="auto" w:fill="auto"/>
        <w:bidi w:val="0"/>
        <w:spacing w:before="0" w:after="510" w:line="277" w:lineRule="exact"/>
        <w:ind w:left="0" w:right="0" w:firstLine="0"/>
      </w:pPr>
      <w:r>
        <w:rPr>
          <w:lang w:val="it-IT" w:eastAsia="it-IT" w:bidi="it-IT"/>
          <w:w w:val="100"/>
          <w:spacing w:val="0"/>
          <w:color w:val="000000"/>
          <w:position w:val="0"/>
        </w:rPr>
        <w:t>È possibile presentare una sola domanda di partecipazione per un unico progetto ed un’unica sede, da scegliere tra i progetti elencati negli allegati al presente bando e riportati nella piattaforma DOL.</w:t>
      </w:r>
    </w:p>
    <w:p>
      <w:pPr>
        <w:pStyle w:val="Style6"/>
        <w:widowControl w:val="0"/>
        <w:keepNext w:val="0"/>
        <w:keepLines w:val="0"/>
        <w:shd w:val="clear" w:color="auto" w:fill="auto"/>
        <w:bidi w:val="0"/>
        <w:jc w:val="center"/>
        <w:spacing w:before="0" w:after="0" w:line="240" w:lineRule="exact"/>
        <w:ind w:left="20" w:right="0" w:firstLine="0"/>
      </w:pPr>
      <w:r>
        <w:rPr>
          <w:lang w:val="it-IT" w:eastAsia="it-IT" w:bidi="it-IT"/>
          <w:w w:val="100"/>
          <w:spacing w:val="0"/>
          <w:color w:val="000000"/>
          <w:position w:val="0"/>
        </w:rPr>
        <w:t>Art. 6</w:t>
      </w:r>
    </w:p>
    <w:p>
      <w:pPr>
        <w:pStyle w:val="Style8"/>
        <w:widowControl w:val="0"/>
        <w:keepNext/>
        <w:keepLines/>
        <w:shd w:val="clear" w:color="auto" w:fill="auto"/>
        <w:bidi w:val="0"/>
        <w:spacing w:before="0" w:after="260" w:line="240" w:lineRule="exact"/>
        <w:ind w:left="20" w:right="0" w:firstLine="0"/>
      </w:pPr>
      <w:bookmarkStart w:id="1" w:name="bookmark1"/>
      <w:r>
        <w:rPr>
          <w:lang w:val="it-IT" w:eastAsia="it-IT" w:bidi="it-IT"/>
          <w:w w:val="100"/>
          <w:spacing w:val="0"/>
          <w:color w:val="000000"/>
          <w:position w:val="0"/>
        </w:rPr>
        <w:t>Procedure selettive</w:t>
      </w:r>
      <w:bookmarkEnd w:id="1"/>
    </w:p>
    <w:p>
      <w:pPr>
        <w:pStyle w:val="Style6"/>
        <w:widowControl w:val="0"/>
        <w:keepNext w:val="0"/>
        <w:keepLines w:val="0"/>
        <w:shd w:val="clear" w:color="auto" w:fill="auto"/>
        <w:bidi w:val="0"/>
        <w:spacing w:before="0" w:after="0"/>
        <w:ind w:left="0" w:right="0" w:firstLine="0"/>
      </w:pPr>
      <w:r>
        <w:rPr>
          <w:lang w:val="it-IT" w:eastAsia="it-IT" w:bidi="it-IT"/>
          <w:w w:val="100"/>
          <w:spacing w:val="0"/>
          <w:color w:val="000000"/>
          <w:position w:val="0"/>
        </w:rPr>
        <w:t>La selezione dei candidati è effettuata, ai sensi dell’art. 15 del D.Lgs. 6 marzo 2017, n. 40, dall’ente che realizza il progetto prescelto.</w:t>
      </w:r>
    </w:p>
    <w:p>
      <w:pPr>
        <w:pStyle w:val="Style6"/>
        <w:widowControl w:val="0"/>
        <w:keepNext w:val="0"/>
        <w:keepLines w:val="0"/>
        <w:shd w:val="clear" w:color="auto" w:fill="auto"/>
        <w:bidi w:val="0"/>
        <w:spacing w:before="0" w:after="237" w:line="274" w:lineRule="exact"/>
        <w:ind w:left="0" w:right="0" w:firstLine="0"/>
      </w:pPr>
      <w:r>
        <w:rPr>
          <w:lang w:val="it-IT" w:eastAsia="it-IT" w:bidi="it-IT"/>
          <w:w w:val="100"/>
          <w:spacing w:val="0"/>
          <w:color w:val="000000"/>
          <w:position w:val="0"/>
        </w:rPr>
        <w:t xml:space="preserve">L’ente pubblica sul proprio sito </w:t>
      </w:r>
      <w:r>
        <w:rPr>
          <w:lang w:val="es-ES" w:eastAsia="es-ES" w:bidi="es-ES"/>
          <w:w w:val="100"/>
          <w:spacing w:val="0"/>
          <w:color w:val="000000"/>
          <w:position w:val="0"/>
        </w:rPr>
        <w:t xml:space="preserve">internet, </w:t>
      </w:r>
      <w:r>
        <w:rPr>
          <w:lang w:val="it-IT" w:eastAsia="it-IT" w:bidi="it-IT"/>
          <w:w w:val="100"/>
          <w:spacing w:val="0"/>
          <w:color w:val="000000"/>
          <w:position w:val="0"/>
        </w:rPr>
        <w:t xml:space="preserve">nella sezione dedicata al “servizio civile” sulla </w:t>
      </w:r>
      <w:r>
        <w:rPr>
          <w:rStyle w:val="CharStyle10"/>
        </w:rPr>
        <w:t>home page</w:t>
      </w:r>
      <w:r>
        <w:rPr>
          <w:lang w:val="it-IT" w:eastAsia="it-IT" w:bidi="it-IT"/>
          <w:w w:val="100"/>
          <w:spacing w:val="0"/>
          <w:color w:val="000000"/>
          <w:position w:val="0"/>
        </w:rPr>
        <w:t>, il calendario di convocazione ai colloqui almeno 10 giorni prima del loro inizio, a pena di annullamento delle selezioni. Si ricorda che l’eventuale esclusione di un candidato dal colloquio deve essere tempestivamente comunicata all’interessato, specificandone la motivazione.</w:t>
      </w:r>
    </w:p>
    <w:p>
      <w:pPr>
        <w:pStyle w:val="Style6"/>
        <w:widowControl w:val="0"/>
        <w:keepNext w:val="0"/>
        <w:keepLines w:val="0"/>
        <w:shd w:val="clear" w:color="auto" w:fill="auto"/>
        <w:bidi w:val="0"/>
        <w:spacing w:before="0" w:after="240" w:line="277" w:lineRule="exact"/>
        <w:ind w:left="0" w:right="0" w:firstLine="0"/>
      </w:pPr>
      <w:r>
        <w:rPr>
          <w:lang w:val="it-IT" w:eastAsia="it-IT" w:bidi="it-IT"/>
          <w:w w:val="100"/>
          <w:spacing w:val="0"/>
          <w:color w:val="000000"/>
          <w:position w:val="0"/>
        </w:rPr>
        <w:t>La pubblicazione del calendario ha valore di notifica della convocazione a tutti gli effetti di legge e il candidato che, pur avendo inoltrato la domanda, non si presenta al colloquio nei giorni stabiliti senza giustificato motivo è escluso dalla selezione per non aver completato la relativa procedura.</w:t>
      </w:r>
    </w:p>
    <w:p>
      <w:pPr>
        <w:pStyle w:val="Style6"/>
        <w:widowControl w:val="0"/>
        <w:keepNext w:val="0"/>
        <w:keepLines w:val="0"/>
        <w:shd w:val="clear" w:color="auto" w:fill="auto"/>
        <w:bidi w:val="0"/>
        <w:spacing w:before="0" w:after="240" w:line="277" w:lineRule="exact"/>
        <w:ind w:left="0" w:right="0" w:firstLine="0"/>
      </w:pPr>
      <w:r>
        <w:rPr>
          <w:lang w:val="it-IT" w:eastAsia="it-IT" w:bidi="it-IT"/>
          <w:w w:val="100"/>
          <w:spacing w:val="0"/>
          <w:color w:val="000000"/>
          <w:position w:val="0"/>
        </w:rPr>
        <w:t>I candidati si attengono alle indicazioni fomite dall’ente medesimo in ordine ai tempi, ai luoghi e alle modalità delle procedine selettive, che in ogni caso sono effettuate in lingua italiana.</w:t>
      </w:r>
    </w:p>
    <w:p>
      <w:pPr>
        <w:pStyle w:val="Style6"/>
        <w:widowControl w:val="0"/>
        <w:keepNext w:val="0"/>
        <w:keepLines w:val="0"/>
        <w:shd w:val="clear" w:color="auto" w:fill="auto"/>
        <w:bidi w:val="0"/>
        <w:spacing w:before="0" w:after="243" w:line="277" w:lineRule="exact"/>
        <w:ind w:left="0" w:right="0" w:firstLine="0"/>
      </w:pPr>
      <w:r>
        <w:rPr>
          <w:lang w:val="it-IT" w:eastAsia="it-IT" w:bidi="it-IT"/>
          <w:w w:val="100"/>
          <w:spacing w:val="0"/>
          <w:color w:val="000000"/>
          <w:position w:val="0"/>
        </w:rPr>
        <w:t>L’ente deve applicare la procedura selettiva verificata e approvata in sede .di accreditamento o di valutazione del progetto, oppure attenersi ai criteri di valutazione contenuti nel Decreto n. 173 dell’11 giugno 2009 del Capo dell’Ufficio nazionale per il servizio civile, provvedendo a dare adeguata pubblicità agli stessi sul proprio sito internet.</w:t>
      </w:r>
    </w:p>
    <w:p>
      <w:pPr>
        <w:pStyle w:val="Style6"/>
        <w:widowControl w:val="0"/>
        <w:keepNext w:val="0"/>
        <w:keepLines w:val="0"/>
        <w:shd w:val="clear" w:color="auto" w:fill="auto"/>
        <w:bidi w:val="0"/>
        <w:spacing w:before="0" w:after="240" w:line="274" w:lineRule="exact"/>
        <w:ind w:left="0" w:right="0" w:firstLine="0"/>
      </w:pPr>
      <w:r>
        <w:rPr>
          <w:lang w:val="it-IT" w:eastAsia="it-IT" w:bidi="it-IT"/>
          <w:w w:val="100"/>
          <w:spacing w:val="0"/>
          <w:color w:val="000000"/>
          <w:position w:val="0"/>
        </w:rPr>
        <w:t xml:space="preserve">L’ente valuta i titoli presentati e, nel caso utilizzi i criteri di cui al citato decreto, compila per ogni candidato, a seguito del colloquio, la scheda di valutazione, secondo il modello in </w:t>
      </w:r>
      <w:r>
        <w:rPr>
          <w:rStyle w:val="CharStyle10"/>
        </w:rPr>
        <w:t xml:space="preserve">Allegato C, </w:t>
      </w:r>
      <w:r>
        <w:rPr>
          <w:lang w:val="it-IT" w:eastAsia="it-IT" w:bidi="it-IT"/>
          <w:w w:val="100"/>
          <w:spacing w:val="0"/>
          <w:color w:val="000000"/>
          <w:position w:val="0"/>
        </w:rPr>
        <w:t>attribuendo il relativo punteggio. Se utilizza invece la propria procedura selettiva deve comunque compilare una scheda che dia conto dei punteggi attribuiti.</w:t>
      </w:r>
    </w:p>
    <w:p>
      <w:pPr>
        <w:pStyle w:val="Style6"/>
        <w:widowControl w:val="0"/>
        <w:keepNext w:val="0"/>
        <w:keepLines w:val="0"/>
        <w:shd w:val="clear" w:color="auto" w:fill="auto"/>
        <w:bidi w:val="0"/>
        <w:spacing w:before="0" w:after="0" w:line="274" w:lineRule="exact"/>
        <w:ind w:left="0" w:right="0" w:firstLine="0"/>
      </w:pPr>
      <w:r>
        <w:rPr>
          <w:lang w:val="it-IT" w:eastAsia="it-IT" w:bidi="it-IT"/>
          <w:w w:val="100"/>
          <w:spacing w:val="0"/>
          <w:color w:val="000000"/>
          <w:position w:val="0"/>
        </w:rPr>
        <w:t>I candidati che abbiano ottenuto in fase di colloquio un punteggio inferiore alla soglia prevista dal sistema di selezione adottato (per il sistema di selezione di cui al citato decreto tale soglia è pari a 36/60) sono dichiarati non idonei a svolgere il servizio civile nel progetto per il quale hanno sostenuto le selezioni; in tal caso l’ente non dovrà indicare il punteggio relativo alla valutazione dei</w:t>
      </w:r>
    </w:p>
    <w:sectPr>
      <w:footerReference w:type="default" r:id="rId9"/>
      <w:footnotePr>
        <w:pos w:val="pageBottom"/>
        <w:numFmt w:val="decimal"/>
        <w:numRestart w:val="continuous"/>
      </w:footnotePr>
      <w:pgSz w:w="11900" w:h="16840"/>
      <w:pgMar w:top="1527" w:left="1145" w:right="1078" w:bottom="1265"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535.35pt;margin-top:790.95pt;width:3.8pt;height:6.8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t-IT" w:eastAsia="it-IT" w:bidi="it-I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t-IT" w:eastAsia="it-IT" w:bidi="it-IT"/>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t-IT" w:eastAsia="it-IT" w:bidi="it-IT"/>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Intestazione o piè di pagina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Intestazione o piè di pagina"/>
    <w:basedOn w:val="CharStyle4"/>
    <w:rPr>
      <w:lang w:val="it-IT" w:eastAsia="it-IT" w:bidi="it-IT"/>
      <w:w w:val="100"/>
      <w:spacing w:val="0"/>
      <w:color w:val="000000"/>
      <w:position w:val="0"/>
    </w:rPr>
  </w:style>
  <w:style w:type="character" w:customStyle="1" w:styleId="CharStyle7">
    <w:name w:val="Corpo del testo (2)_"/>
    <w:basedOn w:val="DefaultParagraphFont"/>
    <w:link w:val="Style6"/>
    <w:rPr>
      <w:b w:val="0"/>
      <w:bCs w:val="0"/>
      <w:i w:val="0"/>
      <w:iCs w:val="0"/>
      <w:u w:val="none"/>
      <w:strike w:val="0"/>
      <w:smallCaps w:val="0"/>
      <w:sz w:val="24"/>
      <w:szCs w:val="24"/>
      <w:rFonts w:ascii="Times New Roman" w:eastAsia="Times New Roman" w:hAnsi="Times New Roman" w:cs="Times New Roman"/>
    </w:rPr>
  </w:style>
  <w:style w:type="character" w:customStyle="1" w:styleId="CharStyle9">
    <w:name w:val="Titolo #1_"/>
    <w:basedOn w:val="DefaultParagraphFont"/>
    <w:link w:val="Style8"/>
    <w:rPr>
      <w:b/>
      <w:bCs/>
      <w:i w:val="0"/>
      <w:iCs w:val="0"/>
      <w:u w:val="none"/>
      <w:strike w:val="0"/>
      <w:smallCaps w:val="0"/>
      <w:sz w:val="24"/>
      <w:szCs w:val="24"/>
      <w:rFonts w:ascii="Times New Roman" w:eastAsia="Times New Roman" w:hAnsi="Times New Roman" w:cs="Times New Roman"/>
    </w:rPr>
  </w:style>
  <w:style w:type="character" w:customStyle="1" w:styleId="CharStyle10">
    <w:name w:val="Corpo del testo (2) + Corsivo"/>
    <w:basedOn w:val="CharStyle7"/>
    <w:rPr>
      <w:lang w:val="it-IT" w:eastAsia="it-IT" w:bidi="it-IT"/>
      <w:i/>
      <w:iCs/>
      <w:w w:val="100"/>
      <w:spacing w:val="0"/>
      <w:color w:val="000000"/>
      <w:position w:val="0"/>
    </w:rPr>
  </w:style>
  <w:style w:type="character" w:customStyle="1" w:styleId="CharStyle11">
    <w:name w:val="Corpo del testo (2)"/>
    <w:basedOn w:val="CharStyle7"/>
    <w:rPr>
      <w:lang w:val="en-US" w:eastAsia="en-US" w:bidi="en-US"/>
      <w:u w:val="single"/>
      <w:w w:val="100"/>
      <w:spacing w:val="0"/>
      <w:color w:val="000000"/>
      <w:position w:val="0"/>
    </w:rPr>
  </w:style>
  <w:style w:type="character" w:customStyle="1" w:styleId="CharStyle12">
    <w:name w:val="Corpo del testo (2)"/>
    <w:basedOn w:val="CharStyle7"/>
    <w:rPr>
      <w:lang w:val="en-US" w:eastAsia="en-US" w:bidi="en-US"/>
      <w:w w:val="100"/>
      <w:spacing w:val="0"/>
      <w:color w:val="000000"/>
      <w:position w:val="0"/>
    </w:rPr>
  </w:style>
  <w:style w:type="character" w:customStyle="1" w:styleId="CharStyle13">
    <w:name w:val="Corpo del testo (2) + Corsivo"/>
    <w:basedOn w:val="CharStyle7"/>
    <w:rPr>
      <w:lang w:val="it-IT" w:eastAsia="it-IT" w:bidi="it-IT"/>
      <w:i/>
      <w:iCs/>
      <w:u w:val="single"/>
      <w:w w:val="100"/>
      <w:spacing w:val="0"/>
      <w:color w:val="000000"/>
      <w:position w:val="0"/>
    </w:rPr>
  </w:style>
  <w:style w:type="character" w:customStyle="1" w:styleId="CharStyle14">
    <w:name w:val="Corpo del testo (2) + Corsivo"/>
    <w:basedOn w:val="CharStyle7"/>
    <w:rPr>
      <w:lang w:val="it-IT" w:eastAsia="it-IT" w:bidi="it-IT"/>
      <w:i/>
      <w:iCs/>
      <w:w w:val="100"/>
      <w:spacing w:val="0"/>
      <w:color w:val="000000"/>
      <w:position w:val="0"/>
    </w:rPr>
  </w:style>
  <w:style w:type="character" w:customStyle="1" w:styleId="CharStyle15">
    <w:name w:val="Corpo del testo (2) + Grassetto"/>
    <w:basedOn w:val="CharStyle7"/>
    <w:rPr>
      <w:lang w:val="it-IT" w:eastAsia="it-IT" w:bidi="it-IT"/>
      <w:b/>
      <w:bCs/>
      <w:w w:val="100"/>
      <w:spacing w:val="0"/>
      <w:color w:val="000000"/>
      <w:position w:val="0"/>
    </w:rPr>
  </w:style>
  <w:style w:type="character" w:customStyle="1" w:styleId="CharStyle17">
    <w:name w:val="Didascalia immagine_"/>
    <w:basedOn w:val="DefaultParagraphFont"/>
    <w:link w:val="Style16"/>
    <w:rPr>
      <w:b/>
      <w:bCs/>
      <w:i w:val="0"/>
      <w:iCs w:val="0"/>
      <w:u w:val="none"/>
      <w:strike w:val="0"/>
      <w:smallCaps w:val="0"/>
      <w:sz w:val="19"/>
      <w:szCs w:val="19"/>
      <w:rFonts w:ascii="Times New Roman" w:eastAsia="Times New Roman" w:hAnsi="Times New Roman" w:cs="Times New Roman"/>
    </w:rPr>
  </w:style>
  <w:style w:type="paragraph" w:customStyle="1" w:styleId="Style3">
    <w:name w:val="Intestazione o piè di pagina"/>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Corpo del testo (2)"/>
    <w:basedOn w:val="Normal"/>
    <w:link w:val="CharStyle7"/>
    <w:pPr>
      <w:widowControl w:val="0"/>
      <w:shd w:val="clear" w:color="auto" w:fill="FFFFFF"/>
      <w:jc w:val="both"/>
      <w:spacing w:before="360" w:after="480" w:line="281"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8">
    <w:name w:val="Titolo #1"/>
    <w:basedOn w:val="Normal"/>
    <w:link w:val="CharStyle9"/>
    <w:pPr>
      <w:widowControl w:val="0"/>
      <w:shd w:val="clear" w:color="auto" w:fill="FFFFFF"/>
      <w:jc w:val="center"/>
      <w:outlineLvl w:val="0"/>
      <w:spacing w:before="60" w:after="3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16">
    <w:name w:val="Didascalia immagine"/>
    <w:basedOn w:val="Normal"/>
    <w:link w:val="CharStyle1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s>
</file>